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33C" w:rsidRDefault="002B533C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2B533C" w:rsidRDefault="002B533C">
      <w:pPr>
        <w:pStyle w:val="newncpi"/>
        <w:ind w:firstLine="0"/>
        <w:jc w:val="center"/>
      </w:pPr>
      <w:r>
        <w:rPr>
          <w:rStyle w:val="datepr"/>
        </w:rPr>
        <w:t>21 ноября 2016 г.</w:t>
      </w:r>
      <w:r>
        <w:rPr>
          <w:rStyle w:val="number"/>
        </w:rPr>
        <w:t xml:space="preserve"> № 694</w:t>
      </w:r>
    </w:p>
    <w:p w:rsidR="002B533C" w:rsidRDefault="002B533C">
      <w:pPr>
        <w:pStyle w:val="titlencpi"/>
      </w:pPr>
      <w:r>
        <w:t>О внесении изменения в решение Ивьевского районного исполнительного комитета от 9 февраля 2015 г. № 68</w:t>
      </w:r>
    </w:p>
    <w:p w:rsidR="002B533C" w:rsidRDefault="002B533C">
      <w:pPr>
        <w:pStyle w:val="preamble"/>
      </w:pPr>
      <w:proofErr w:type="gramStart"/>
      <w:r>
        <w:t>На основании пункта 20 Ветеринарно-санитарных правил содержания продуктивных животных в личных подсобных хозяйствах граждан и пункта 51 Ветеринарно-санитарных правил выращивания свиней юридическими лицами и индивидуальными предпринимателями, утвержденных постановлением Совета Министров Республики Беларусь от 29 августа 2013 г. № 758 «О дополнительных мерах по ликвидации и недопущению распространения африканской чумы свиней и других опасных заболеваний животных», Ивьевский районный исполнительный комитет РЕШИЛ:</w:t>
      </w:r>
      <w:proofErr w:type="gramEnd"/>
    </w:p>
    <w:p w:rsidR="002B533C" w:rsidRDefault="002B533C">
      <w:pPr>
        <w:pStyle w:val="point"/>
      </w:pPr>
      <w:r>
        <w:t>1. Приложение к решению Ивьевского районного исполнительного комитета от 9 февраля 2015 г. № 68 «Об определении территорий, в пределах которых запрещено содержание свиней» (Национальный правовой Интернет-портал Республики Беларусь, 11.03.2015, 9/69393; 07.08.2015, 9/72109) изложить в новой редакции:</w:t>
      </w:r>
    </w:p>
    <w:p w:rsidR="002B533C" w:rsidRDefault="002B533C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3"/>
        <w:gridCol w:w="2705"/>
      </w:tblGrid>
      <w:tr w:rsidR="002B533C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533C" w:rsidRDefault="002B533C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533C" w:rsidRDefault="002B533C">
            <w:pPr>
              <w:pStyle w:val="append1"/>
            </w:pPr>
            <w:r>
              <w:rPr>
                <w:rStyle w:val="rednoun"/>
              </w:rPr>
              <w:t>«</w:t>
            </w:r>
            <w:r>
              <w:t>Приложение</w:t>
            </w:r>
          </w:p>
          <w:p w:rsidR="002B533C" w:rsidRDefault="002B533C">
            <w:pPr>
              <w:pStyle w:val="append"/>
            </w:pPr>
            <w:r>
              <w:t xml:space="preserve">к решению </w:t>
            </w:r>
            <w:r>
              <w:br/>
              <w:t>Ивьевского районного</w:t>
            </w:r>
            <w:r>
              <w:br/>
              <w:t>исполнительного комитета</w:t>
            </w:r>
            <w:r>
              <w:br/>
              <w:t xml:space="preserve">09.02.2015 № 68 </w:t>
            </w:r>
            <w:r>
              <w:br/>
              <w:t>(в редакции решения</w:t>
            </w:r>
            <w:r>
              <w:br/>
              <w:t>Ивьевского районного</w:t>
            </w:r>
            <w:r>
              <w:br/>
              <w:t>исполнительного комитета</w:t>
            </w:r>
            <w:r>
              <w:br/>
              <w:t xml:space="preserve">21.11.2016 № 694) </w:t>
            </w:r>
          </w:p>
        </w:tc>
      </w:tr>
    </w:tbl>
    <w:p w:rsidR="002B533C" w:rsidRDefault="002B533C">
      <w:pPr>
        <w:pStyle w:val="titlep"/>
      </w:pPr>
      <w:r>
        <w:t>Территории, в пределах которых запрещено содержание свиней физическими лицами в личных подсобных хозяйствах граждан, в крестьянских (фермерских) хозяйствах и индивидуальными предпринимателями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37"/>
        <w:gridCol w:w="3417"/>
        <w:gridCol w:w="3844"/>
      </w:tblGrid>
      <w:tr w:rsidR="002B533C">
        <w:trPr>
          <w:trHeight w:val="240"/>
        </w:trPr>
        <w:tc>
          <w:tcPr>
            <w:tcW w:w="1137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533C" w:rsidRDefault="002B533C">
            <w:pPr>
              <w:pStyle w:val="table10"/>
              <w:jc w:val="center"/>
            </w:pPr>
            <w:r>
              <w:t>Наименование сельсовета</w:t>
            </w:r>
          </w:p>
        </w:tc>
        <w:tc>
          <w:tcPr>
            <w:tcW w:w="18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533C" w:rsidRDefault="002B533C">
            <w:pPr>
              <w:pStyle w:val="table10"/>
              <w:jc w:val="center"/>
            </w:pPr>
            <w:r>
              <w:t>Категория сельского населенного пункта</w:t>
            </w:r>
          </w:p>
        </w:tc>
        <w:tc>
          <w:tcPr>
            <w:tcW w:w="2045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533C" w:rsidRDefault="002B533C">
            <w:pPr>
              <w:pStyle w:val="table10"/>
              <w:jc w:val="center"/>
            </w:pPr>
            <w:r>
              <w:t>Наименование сельского населенного пункта</w:t>
            </w:r>
          </w:p>
        </w:tc>
      </w:tr>
      <w:tr w:rsidR="002B533C">
        <w:trPr>
          <w:trHeight w:val="240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533C" w:rsidRDefault="002B533C">
            <w:pPr>
              <w:pStyle w:val="table10"/>
              <w:jc w:val="center"/>
            </w:pPr>
            <w:r>
              <w:t>Свиноводческий комплекс «Геранёны» коммунального сельскохозяйственного унитарного предприятия «Баума» (проектная мощность более 12 тысяч голов в год)</w:t>
            </w:r>
          </w:p>
        </w:tc>
      </w:tr>
      <w:tr w:rsidR="002B533C">
        <w:trPr>
          <w:trHeight w:val="240"/>
        </w:trPr>
        <w:tc>
          <w:tcPr>
            <w:tcW w:w="1137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533C" w:rsidRDefault="002B533C">
            <w:pPr>
              <w:pStyle w:val="table10"/>
            </w:pPr>
            <w:r>
              <w:t>Геранёнский</w:t>
            </w: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533C" w:rsidRDefault="002B533C">
            <w:pPr>
              <w:pStyle w:val="table10"/>
              <w:jc w:val="center"/>
            </w:pPr>
            <w:r>
              <w:t>агрогородок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533C" w:rsidRDefault="002B533C">
            <w:pPr>
              <w:pStyle w:val="table10"/>
              <w:jc w:val="center"/>
            </w:pPr>
            <w:r>
              <w:t>Геранёны</w:t>
            </w:r>
          </w:p>
        </w:tc>
      </w:tr>
      <w:tr w:rsidR="002B533C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33C" w:rsidRDefault="002B53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533C" w:rsidRDefault="002B533C">
            <w:pPr>
              <w:pStyle w:val="table10"/>
              <w:jc w:val="center"/>
            </w:pPr>
            <w:r>
              <w:t>деревня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533C" w:rsidRDefault="002B533C">
            <w:pPr>
              <w:pStyle w:val="table10"/>
              <w:jc w:val="center"/>
            </w:pPr>
            <w:r>
              <w:t>Дайнова</w:t>
            </w:r>
          </w:p>
        </w:tc>
      </w:tr>
      <w:tr w:rsidR="002B533C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33C" w:rsidRDefault="002B53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533C" w:rsidRDefault="002B533C">
            <w:pPr>
              <w:pStyle w:val="table10"/>
              <w:jc w:val="center"/>
            </w:pPr>
            <w:r>
              <w:t>деревня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533C" w:rsidRDefault="002B533C">
            <w:pPr>
              <w:pStyle w:val="table10"/>
              <w:jc w:val="center"/>
            </w:pPr>
            <w:r>
              <w:t>Туланка</w:t>
            </w:r>
            <w:r>
              <w:rPr>
                <w:rStyle w:val="rednoun"/>
              </w:rPr>
              <w:t>»</w:t>
            </w:r>
            <w:r>
              <w:t>.</w:t>
            </w:r>
          </w:p>
        </w:tc>
      </w:tr>
    </w:tbl>
    <w:p w:rsidR="002B533C" w:rsidRDefault="002B533C">
      <w:pPr>
        <w:pStyle w:val="newncpi"/>
      </w:pPr>
      <w:r>
        <w:t> </w:t>
      </w:r>
    </w:p>
    <w:p w:rsidR="002B533C" w:rsidRDefault="002B533C">
      <w:pPr>
        <w:pStyle w:val="point"/>
      </w:pPr>
      <w:r>
        <w:t>2. Обнародовать (опубликовать) настоящее решение в газете «Іўеўскі край».</w:t>
      </w:r>
    </w:p>
    <w:p w:rsidR="002B533C" w:rsidRDefault="002B533C">
      <w:pPr>
        <w:pStyle w:val="point"/>
      </w:pPr>
      <w:r>
        <w:t>3. Настоящее решение вступает в силу после его официального опубликования.</w:t>
      </w:r>
    </w:p>
    <w:p w:rsidR="002B533C" w:rsidRDefault="002B533C">
      <w:pPr>
        <w:pStyle w:val="newncpi"/>
      </w:pPr>
      <w:r>
        <w:t> 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3"/>
        <w:gridCol w:w="4696"/>
      </w:tblGrid>
      <w:tr w:rsidR="002B533C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533C" w:rsidRDefault="002B533C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533C" w:rsidRDefault="002B533C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2B533C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533C" w:rsidRDefault="002B533C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533C" w:rsidRDefault="002B533C">
            <w:pPr>
              <w:pStyle w:val="newncpi0"/>
              <w:jc w:val="right"/>
            </w:pPr>
            <w:r>
              <w:t> </w:t>
            </w:r>
          </w:p>
        </w:tc>
      </w:tr>
      <w:tr w:rsidR="002B533C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533C" w:rsidRDefault="002B533C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533C" w:rsidRDefault="002B533C">
            <w:pPr>
              <w:pStyle w:val="newncpi0"/>
              <w:jc w:val="right"/>
            </w:pPr>
            <w:r>
              <w:rPr>
                <w:rStyle w:val="pers"/>
              </w:rPr>
              <w:t>В.Н.Павлюковская</w:t>
            </w:r>
          </w:p>
        </w:tc>
      </w:tr>
    </w:tbl>
    <w:p w:rsidR="002B533C" w:rsidRDefault="002B533C">
      <w:pPr>
        <w:pStyle w:val="newncpi0"/>
      </w:pPr>
      <w:r>
        <w:t> </w:t>
      </w:r>
    </w:p>
    <w:tbl>
      <w:tblPr>
        <w:tblW w:w="181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7"/>
      </w:tblGrid>
      <w:tr w:rsidR="002B533C">
        <w:trPr>
          <w:trHeight w:val="240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533C" w:rsidRDefault="002B533C">
            <w:pPr>
              <w:pStyle w:val="agree"/>
            </w:pPr>
            <w:r>
              <w:t>СОГЛАСОВАНО</w:t>
            </w:r>
          </w:p>
          <w:p w:rsidR="002B533C" w:rsidRDefault="002B533C">
            <w:pPr>
              <w:pStyle w:val="agree"/>
            </w:pPr>
            <w:r>
              <w:t xml:space="preserve">Главный государственный </w:t>
            </w:r>
            <w:r>
              <w:br/>
              <w:t xml:space="preserve">ветеринарный инспектор </w:t>
            </w:r>
            <w:r>
              <w:br/>
              <w:t>Ивьевского района</w:t>
            </w:r>
          </w:p>
          <w:p w:rsidR="002B533C" w:rsidRDefault="002B533C">
            <w:pPr>
              <w:pStyle w:val="agreefio"/>
            </w:pPr>
            <w:r>
              <w:t>Ф.Т.Парнявский</w:t>
            </w:r>
          </w:p>
          <w:p w:rsidR="002B533C" w:rsidRDefault="002B533C">
            <w:pPr>
              <w:pStyle w:val="agreedate"/>
            </w:pPr>
            <w:r>
              <w:t>15.11.2016</w:t>
            </w:r>
          </w:p>
        </w:tc>
      </w:tr>
    </w:tbl>
    <w:p w:rsidR="002B533C" w:rsidRDefault="002B533C">
      <w:pPr>
        <w:pStyle w:val="newncpi"/>
      </w:pPr>
      <w:r>
        <w:t> </w:t>
      </w:r>
    </w:p>
    <w:p w:rsidR="00691835" w:rsidRDefault="00691835"/>
    <w:sectPr w:rsidR="00691835" w:rsidSect="00BE50B7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33C"/>
    <w:rsid w:val="002B533C"/>
    <w:rsid w:val="0069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2B533C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2B533C"/>
    <w:pPr>
      <w:spacing w:after="28"/>
      <w:jc w:val="left"/>
    </w:pPr>
    <w:rPr>
      <w:rFonts w:eastAsiaTheme="minorEastAsia"/>
      <w:sz w:val="22"/>
      <w:szCs w:val="22"/>
      <w:lang w:eastAsia="ru-RU"/>
    </w:rPr>
  </w:style>
  <w:style w:type="paragraph" w:customStyle="1" w:styleId="titlep">
    <w:name w:val="titlep"/>
    <w:basedOn w:val="a"/>
    <w:rsid w:val="002B533C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2B533C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2B533C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table10">
    <w:name w:val="table10"/>
    <w:basedOn w:val="a"/>
    <w:rsid w:val="002B533C"/>
    <w:pPr>
      <w:jc w:val="left"/>
    </w:pPr>
    <w:rPr>
      <w:rFonts w:eastAsiaTheme="minorEastAsia"/>
      <w:sz w:val="20"/>
      <w:szCs w:val="20"/>
      <w:lang w:eastAsia="ru-RU"/>
    </w:rPr>
  </w:style>
  <w:style w:type="paragraph" w:customStyle="1" w:styleId="append">
    <w:name w:val="append"/>
    <w:basedOn w:val="a"/>
    <w:rsid w:val="002B533C"/>
    <w:pPr>
      <w:jc w:val="left"/>
    </w:pPr>
    <w:rPr>
      <w:rFonts w:eastAsiaTheme="minorEastAsia"/>
      <w:sz w:val="22"/>
      <w:szCs w:val="22"/>
      <w:lang w:eastAsia="ru-RU"/>
    </w:rPr>
  </w:style>
  <w:style w:type="paragraph" w:customStyle="1" w:styleId="agreefio">
    <w:name w:val="agreefio"/>
    <w:basedOn w:val="a"/>
    <w:rsid w:val="002B533C"/>
    <w:pPr>
      <w:ind w:firstLine="1021"/>
    </w:pPr>
    <w:rPr>
      <w:rFonts w:eastAsiaTheme="minorEastAsia"/>
      <w:sz w:val="22"/>
      <w:szCs w:val="22"/>
      <w:lang w:eastAsia="ru-RU"/>
    </w:rPr>
  </w:style>
  <w:style w:type="paragraph" w:customStyle="1" w:styleId="agreedate">
    <w:name w:val="agreedate"/>
    <w:basedOn w:val="a"/>
    <w:rsid w:val="002B533C"/>
    <w:rPr>
      <w:rFonts w:eastAsiaTheme="minorEastAsia"/>
      <w:sz w:val="22"/>
      <w:szCs w:val="22"/>
      <w:lang w:eastAsia="ru-RU"/>
    </w:rPr>
  </w:style>
  <w:style w:type="paragraph" w:customStyle="1" w:styleId="append1">
    <w:name w:val="append1"/>
    <w:basedOn w:val="a"/>
    <w:rsid w:val="002B533C"/>
    <w:pPr>
      <w:spacing w:after="28"/>
      <w:jc w:val="left"/>
    </w:pPr>
    <w:rPr>
      <w:rFonts w:eastAsiaTheme="minorEastAsia"/>
      <w:sz w:val="22"/>
      <w:szCs w:val="22"/>
      <w:lang w:eastAsia="ru-RU"/>
    </w:rPr>
  </w:style>
  <w:style w:type="paragraph" w:customStyle="1" w:styleId="newncpi">
    <w:name w:val="newncpi"/>
    <w:basedOn w:val="a"/>
    <w:rsid w:val="002B533C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2B533C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2B533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2B533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2B533C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2B533C"/>
    <w:rPr>
      <w:rFonts w:ascii="Times New Roman" w:hAnsi="Times New Roman" w:cs="Times New Roman" w:hint="default"/>
    </w:rPr>
  </w:style>
  <w:style w:type="character" w:customStyle="1" w:styleId="rednoun">
    <w:name w:val="rednoun"/>
    <w:basedOn w:val="a0"/>
    <w:rsid w:val="002B533C"/>
  </w:style>
  <w:style w:type="character" w:customStyle="1" w:styleId="post">
    <w:name w:val="post"/>
    <w:basedOn w:val="a0"/>
    <w:rsid w:val="002B533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2B533C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2B533C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2B533C"/>
    <w:pPr>
      <w:spacing w:after="28"/>
      <w:jc w:val="left"/>
    </w:pPr>
    <w:rPr>
      <w:rFonts w:eastAsiaTheme="minorEastAsia"/>
      <w:sz w:val="22"/>
      <w:szCs w:val="22"/>
      <w:lang w:eastAsia="ru-RU"/>
    </w:rPr>
  </w:style>
  <w:style w:type="paragraph" w:customStyle="1" w:styleId="titlep">
    <w:name w:val="titlep"/>
    <w:basedOn w:val="a"/>
    <w:rsid w:val="002B533C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2B533C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2B533C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table10">
    <w:name w:val="table10"/>
    <w:basedOn w:val="a"/>
    <w:rsid w:val="002B533C"/>
    <w:pPr>
      <w:jc w:val="left"/>
    </w:pPr>
    <w:rPr>
      <w:rFonts w:eastAsiaTheme="minorEastAsia"/>
      <w:sz w:val="20"/>
      <w:szCs w:val="20"/>
      <w:lang w:eastAsia="ru-RU"/>
    </w:rPr>
  </w:style>
  <w:style w:type="paragraph" w:customStyle="1" w:styleId="append">
    <w:name w:val="append"/>
    <w:basedOn w:val="a"/>
    <w:rsid w:val="002B533C"/>
    <w:pPr>
      <w:jc w:val="left"/>
    </w:pPr>
    <w:rPr>
      <w:rFonts w:eastAsiaTheme="minorEastAsia"/>
      <w:sz w:val="22"/>
      <w:szCs w:val="22"/>
      <w:lang w:eastAsia="ru-RU"/>
    </w:rPr>
  </w:style>
  <w:style w:type="paragraph" w:customStyle="1" w:styleId="agreefio">
    <w:name w:val="agreefio"/>
    <w:basedOn w:val="a"/>
    <w:rsid w:val="002B533C"/>
    <w:pPr>
      <w:ind w:firstLine="1021"/>
    </w:pPr>
    <w:rPr>
      <w:rFonts w:eastAsiaTheme="minorEastAsia"/>
      <w:sz w:val="22"/>
      <w:szCs w:val="22"/>
      <w:lang w:eastAsia="ru-RU"/>
    </w:rPr>
  </w:style>
  <w:style w:type="paragraph" w:customStyle="1" w:styleId="agreedate">
    <w:name w:val="agreedate"/>
    <w:basedOn w:val="a"/>
    <w:rsid w:val="002B533C"/>
    <w:rPr>
      <w:rFonts w:eastAsiaTheme="minorEastAsia"/>
      <w:sz w:val="22"/>
      <w:szCs w:val="22"/>
      <w:lang w:eastAsia="ru-RU"/>
    </w:rPr>
  </w:style>
  <w:style w:type="paragraph" w:customStyle="1" w:styleId="append1">
    <w:name w:val="append1"/>
    <w:basedOn w:val="a"/>
    <w:rsid w:val="002B533C"/>
    <w:pPr>
      <w:spacing w:after="28"/>
      <w:jc w:val="left"/>
    </w:pPr>
    <w:rPr>
      <w:rFonts w:eastAsiaTheme="minorEastAsia"/>
      <w:sz w:val="22"/>
      <w:szCs w:val="22"/>
      <w:lang w:eastAsia="ru-RU"/>
    </w:rPr>
  </w:style>
  <w:style w:type="paragraph" w:customStyle="1" w:styleId="newncpi">
    <w:name w:val="newncpi"/>
    <w:basedOn w:val="a"/>
    <w:rsid w:val="002B533C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2B533C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2B533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2B533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2B533C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2B533C"/>
    <w:rPr>
      <w:rFonts w:ascii="Times New Roman" w:hAnsi="Times New Roman" w:cs="Times New Roman" w:hint="default"/>
    </w:rPr>
  </w:style>
  <w:style w:type="character" w:customStyle="1" w:styleId="rednoun">
    <w:name w:val="rednoun"/>
    <w:basedOn w:val="a0"/>
    <w:rsid w:val="002B533C"/>
  </w:style>
  <w:style w:type="character" w:customStyle="1" w:styleId="post">
    <w:name w:val="post"/>
    <w:basedOn w:val="a0"/>
    <w:rsid w:val="002B533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2B533C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2017-02-06T08:44:00Z</dcterms:created>
  <dcterms:modified xsi:type="dcterms:W3CDTF">2017-02-06T08:44:00Z</dcterms:modified>
</cp:coreProperties>
</file>