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D159B" w:rsidRDefault="001D159B">
      <w:pPr>
        <w:pStyle w:val="newncpi0"/>
        <w:jc w:val="center"/>
      </w:pPr>
      <w:bookmarkStart w:id="0" w:name="_GoBack"/>
      <w:bookmarkEnd w:id="0"/>
      <w:r>
        <w:rPr>
          <w:rStyle w:val="name"/>
        </w:rPr>
        <w:t>РЕШЕНИЕ </w:t>
      </w:r>
      <w:r>
        <w:rPr>
          <w:rStyle w:val="promulgator"/>
        </w:rPr>
        <w:t>ИВЬЕВСКОГО РАЙОННОГО ИСПОЛНИТЕЛЬНОГО КОМИТЕТА</w:t>
      </w:r>
    </w:p>
    <w:p w:rsidR="001D159B" w:rsidRDefault="001D159B">
      <w:pPr>
        <w:pStyle w:val="newncpi"/>
        <w:ind w:firstLine="0"/>
        <w:jc w:val="center"/>
      </w:pPr>
      <w:r>
        <w:rPr>
          <w:rStyle w:val="datepr"/>
        </w:rPr>
        <w:t>30 января 2026 г.</w:t>
      </w:r>
      <w:r>
        <w:rPr>
          <w:rStyle w:val="number"/>
        </w:rPr>
        <w:t xml:space="preserve"> № 60</w:t>
      </w:r>
    </w:p>
    <w:p w:rsidR="001D159B" w:rsidRDefault="001D159B">
      <w:pPr>
        <w:pStyle w:val="titlencpi"/>
      </w:pPr>
      <w:r>
        <w:t>Об определении перечня пунктов выдачи лекарственного препарата стабильного йода</w:t>
      </w:r>
    </w:p>
    <w:p w:rsidR="001D159B" w:rsidRDefault="001D159B">
      <w:pPr>
        <w:pStyle w:val="preamble"/>
      </w:pPr>
      <w:r>
        <w:t>На основании пункта 15 Инструкции о порядке организации и проведения йодной профилактики в случае угрозы или возникновения радиационных аварий, утвержденной постановлением Министерства здравоохранения Республики Беларусь и Министерства по чрезвычайным ситуациям Республики Беларусь от 19 октября 2022 г. № 103/59, Ивьевский районный исполнительный комитет РЕШИЛ:</w:t>
      </w:r>
    </w:p>
    <w:p w:rsidR="001D159B" w:rsidRDefault="001D159B">
      <w:pPr>
        <w:pStyle w:val="point"/>
      </w:pPr>
      <w:r>
        <w:t>1. Определить перечень пунктов выдачи населению лекарственного препарата стабильного йода для проведения йодной профилактики в случае угрозы или возникновения радиационных аварий при осуществлении деятельности по использованию атомной энергии и места их расположения в период проведения йодной профилактики согласно приложению.</w:t>
      </w:r>
    </w:p>
    <w:p w:rsidR="001D159B" w:rsidRDefault="001D159B">
      <w:pPr>
        <w:pStyle w:val="point"/>
      </w:pPr>
      <w:r>
        <w:t>2. Настоящее решение вступает в силу после его официального опубликования.</w:t>
      </w:r>
    </w:p>
    <w:p w:rsidR="001D159B" w:rsidRDefault="001D159B">
      <w:pPr>
        <w:pStyle w:val="newncpi"/>
      </w:pPr>
      <w: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8"/>
        <w:gridCol w:w="4679"/>
      </w:tblGrid>
      <w:tr w:rsidR="001D159B">
        <w:tc>
          <w:tcPr>
            <w:tcW w:w="2500" w:type="pct"/>
            <w:tcMar>
              <w:top w:w="0" w:type="dxa"/>
              <w:left w:w="6" w:type="dxa"/>
              <w:bottom w:w="0" w:type="dxa"/>
              <w:right w:w="6" w:type="dxa"/>
            </w:tcMar>
            <w:vAlign w:val="bottom"/>
            <w:hideMark/>
          </w:tcPr>
          <w:p w:rsidR="001D159B" w:rsidRDefault="001D159B">
            <w:pPr>
              <w:pStyle w:val="newncpi0"/>
              <w:jc w:val="left"/>
            </w:pPr>
            <w:r>
              <w:rPr>
                <w:rStyle w:val="post"/>
              </w:rPr>
              <w:t>Председатель</w:t>
            </w:r>
          </w:p>
        </w:tc>
        <w:tc>
          <w:tcPr>
            <w:tcW w:w="2500" w:type="pct"/>
            <w:tcMar>
              <w:top w:w="0" w:type="dxa"/>
              <w:left w:w="6" w:type="dxa"/>
              <w:bottom w:w="0" w:type="dxa"/>
              <w:right w:w="6" w:type="dxa"/>
            </w:tcMar>
            <w:vAlign w:val="bottom"/>
            <w:hideMark/>
          </w:tcPr>
          <w:p w:rsidR="001D159B" w:rsidRDefault="001D159B">
            <w:pPr>
              <w:pStyle w:val="newncpi0"/>
              <w:jc w:val="right"/>
            </w:pPr>
            <w:r>
              <w:rPr>
                <w:rStyle w:val="pers"/>
              </w:rPr>
              <w:t>И.Н.Генец</w:t>
            </w:r>
          </w:p>
        </w:tc>
      </w:tr>
    </w:tbl>
    <w:p w:rsidR="001D159B" w:rsidRDefault="001D159B">
      <w:pPr>
        <w:pStyle w:val="newncpi0"/>
      </w:pPr>
      <w:r>
        <w:t> </w:t>
      </w:r>
    </w:p>
    <w:p w:rsidR="001D159B" w:rsidRDefault="001D159B">
      <w:pPr>
        <w:pStyle w:val="agree"/>
        <w:spacing w:after="0"/>
      </w:pPr>
      <w:r>
        <w:t>СОГЛАСОВАНО</w:t>
      </w:r>
    </w:p>
    <w:p w:rsidR="001D159B" w:rsidRDefault="001D159B">
      <w:pPr>
        <w:pStyle w:val="agree"/>
        <w:spacing w:after="160"/>
      </w:pPr>
      <w:r>
        <w:t xml:space="preserve">Ивьевский районный отдел </w:t>
      </w:r>
      <w:r>
        <w:br/>
        <w:t xml:space="preserve">по чрезвычайным ситуациям </w:t>
      </w:r>
      <w:r>
        <w:br/>
        <w:t xml:space="preserve">учреждения «Гродненское областное </w:t>
      </w:r>
      <w:r>
        <w:br/>
        <w:t xml:space="preserve">управление Министерства </w:t>
      </w:r>
      <w:r>
        <w:br/>
        <w:t xml:space="preserve">по чрезвычайным ситуациям </w:t>
      </w:r>
      <w:r>
        <w:br/>
        <w:t>Республики Беларусь»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64"/>
        <w:gridCol w:w="2693"/>
      </w:tblGrid>
      <w:tr w:rsidR="001D159B">
        <w:tc>
          <w:tcPr>
            <w:tcW w:w="3561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1D159B" w:rsidRDefault="001D159B">
            <w:pPr>
              <w:pStyle w:val="newncpi"/>
            </w:pPr>
            <w:r>
              <w:t> </w:t>
            </w:r>
          </w:p>
        </w:tc>
        <w:tc>
          <w:tcPr>
            <w:tcW w:w="1439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1D159B" w:rsidRDefault="001D159B">
            <w:pPr>
              <w:pStyle w:val="append1"/>
            </w:pPr>
            <w:r>
              <w:t>Приложение</w:t>
            </w:r>
          </w:p>
          <w:p w:rsidR="001D159B" w:rsidRDefault="001D159B">
            <w:pPr>
              <w:pStyle w:val="append"/>
            </w:pPr>
            <w:r>
              <w:t xml:space="preserve">к решению </w:t>
            </w:r>
            <w:r>
              <w:br/>
              <w:t xml:space="preserve">Ивьевского районного </w:t>
            </w:r>
            <w:r>
              <w:br/>
              <w:t xml:space="preserve">исполнительного комитета </w:t>
            </w:r>
            <w:r>
              <w:br/>
              <w:t xml:space="preserve">30.01.2026 № 60 </w:t>
            </w:r>
          </w:p>
        </w:tc>
      </w:tr>
    </w:tbl>
    <w:p w:rsidR="001D159B" w:rsidRDefault="001D159B">
      <w:pPr>
        <w:pStyle w:val="titlep"/>
        <w:ind w:right="424"/>
        <w:jc w:val="left"/>
      </w:pPr>
      <w:r>
        <w:t>ПЕРЕЧЕНЬ</w:t>
      </w:r>
      <w:r>
        <w:br/>
        <w:t>пунктов выдачи населению лекарственного препарата стабильного йода для проведения йодной профилактики в случае угрозы или возникновения радиационных аварий при осуществлении деятельности по использованию атомной энергии и места их расположения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91"/>
        <w:gridCol w:w="4956"/>
      </w:tblGrid>
      <w:tr w:rsidR="001D159B">
        <w:trPr>
          <w:trHeight w:val="240"/>
        </w:trPr>
        <w:tc>
          <w:tcPr>
            <w:tcW w:w="2349" w:type="pct"/>
            <w:tcBorders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1D159B" w:rsidRDefault="001D159B">
            <w:pPr>
              <w:pStyle w:val="table10"/>
              <w:jc w:val="center"/>
            </w:pPr>
            <w:r>
              <w:t>Наименование пункта выдачи лекарственного препарата стабильного йода</w:t>
            </w:r>
          </w:p>
        </w:tc>
        <w:tc>
          <w:tcPr>
            <w:tcW w:w="2651" w:type="pct"/>
            <w:tcBorders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1D159B" w:rsidRDefault="001D159B">
            <w:pPr>
              <w:pStyle w:val="table10"/>
              <w:jc w:val="center"/>
            </w:pPr>
            <w:r>
              <w:t>Место расположения пункта выдачи лекарственного препарата стабильного йода</w:t>
            </w:r>
          </w:p>
        </w:tc>
      </w:tr>
      <w:tr w:rsidR="001D159B">
        <w:trPr>
          <w:trHeight w:val="240"/>
        </w:trPr>
        <w:tc>
          <w:tcPr>
            <w:tcW w:w="234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1D159B" w:rsidRDefault="001D159B">
            <w:pPr>
              <w:pStyle w:val="table10"/>
            </w:pPr>
            <w:r>
              <w:t>1. Учреждение здравоохранения «Ивьевская центральная районная больница» (далее – УЗ «Ивьевская ЦРБ»)</w:t>
            </w:r>
          </w:p>
        </w:tc>
        <w:tc>
          <w:tcPr>
            <w:tcW w:w="2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1D159B" w:rsidRDefault="001D159B">
            <w:pPr>
              <w:pStyle w:val="table10"/>
            </w:pPr>
            <w:r>
              <w:t>город Ивье, улица Карла Маркса, 73</w:t>
            </w:r>
          </w:p>
        </w:tc>
      </w:tr>
      <w:tr w:rsidR="001D159B">
        <w:trPr>
          <w:trHeight w:val="240"/>
        </w:trPr>
        <w:tc>
          <w:tcPr>
            <w:tcW w:w="234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1D159B" w:rsidRDefault="001D159B">
            <w:pPr>
              <w:pStyle w:val="table10"/>
            </w:pPr>
            <w:r>
              <w:t>2. Государственное учреждение образования «Ивьевская средняя школа»</w:t>
            </w:r>
          </w:p>
        </w:tc>
        <w:tc>
          <w:tcPr>
            <w:tcW w:w="2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1D159B" w:rsidRDefault="001D159B">
            <w:pPr>
              <w:pStyle w:val="table10"/>
            </w:pPr>
            <w:r>
              <w:t>город Ивье, улица 50 лет Октября, 25А</w:t>
            </w:r>
          </w:p>
        </w:tc>
      </w:tr>
      <w:tr w:rsidR="001D159B">
        <w:trPr>
          <w:trHeight w:val="240"/>
        </w:trPr>
        <w:tc>
          <w:tcPr>
            <w:tcW w:w="234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1D159B" w:rsidRDefault="001D159B">
            <w:pPr>
              <w:pStyle w:val="table10"/>
            </w:pPr>
            <w:r>
              <w:t>3. Учреждение образования «Ивьевский государственный колледж»</w:t>
            </w:r>
          </w:p>
        </w:tc>
        <w:tc>
          <w:tcPr>
            <w:tcW w:w="2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1D159B" w:rsidRDefault="001D159B">
            <w:pPr>
              <w:pStyle w:val="table10"/>
            </w:pPr>
            <w:r>
              <w:t>город Ивье, улица Молодежная, 4</w:t>
            </w:r>
          </w:p>
        </w:tc>
      </w:tr>
      <w:tr w:rsidR="001D159B">
        <w:trPr>
          <w:trHeight w:val="240"/>
        </w:trPr>
        <w:tc>
          <w:tcPr>
            <w:tcW w:w="234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1D159B" w:rsidRDefault="001D159B">
            <w:pPr>
              <w:pStyle w:val="table10"/>
            </w:pPr>
            <w:r>
              <w:t>4. Юратишковская участковая больница УЗ «Ивьевская ЦРБ»</w:t>
            </w:r>
          </w:p>
        </w:tc>
        <w:tc>
          <w:tcPr>
            <w:tcW w:w="2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1D159B" w:rsidRDefault="001D159B">
            <w:pPr>
              <w:pStyle w:val="table10"/>
            </w:pPr>
            <w:r>
              <w:t>городской поселок Юратишки, улица Морозова, 7</w:t>
            </w:r>
          </w:p>
        </w:tc>
      </w:tr>
      <w:tr w:rsidR="001D159B">
        <w:trPr>
          <w:trHeight w:val="240"/>
        </w:trPr>
        <w:tc>
          <w:tcPr>
            <w:tcW w:w="234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1D159B" w:rsidRDefault="001D159B">
            <w:pPr>
              <w:pStyle w:val="table10"/>
            </w:pPr>
            <w:r>
              <w:t>5. Государственное учреждение образования «Юратишковская средняя школа Ивьевского района»</w:t>
            </w:r>
          </w:p>
        </w:tc>
        <w:tc>
          <w:tcPr>
            <w:tcW w:w="2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1D159B" w:rsidRDefault="001D159B">
            <w:pPr>
              <w:pStyle w:val="table10"/>
            </w:pPr>
            <w:r>
              <w:t>городской поселок Юратишки, улица Промышленная, 3</w:t>
            </w:r>
          </w:p>
        </w:tc>
      </w:tr>
      <w:tr w:rsidR="001D159B">
        <w:trPr>
          <w:trHeight w:val="240"/>
        </w:trPr>
        <w:tc>
          <w:tcPr>
            <w:tcW w:w="234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1D159B" w:rsidRDefault="001D159B">
            <w:pPr>
              <w:pStyle w:val="table10"/>
            </w:pPr>
            <w:r>
              <w:t>6. Лаздунская амбулатория врача общей практики УЗ «Ивьевская ЦРБ»</w:t>
            </w:r>
          </w:p>
        </w:tc>
        <w:tc>
          <w:tcPr>
            <w:tcW w:w="2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1D159B" w:rsidRDefault="001D159B">
            <w:pPr>
              <w:pStyle w:val="table10"/>
            </w:pPr>
            <w:r>
              <w:t>агрогородок Лаздуны 1, улица Гагарина, 16</w:t>
            </w:r>
          </w:p>
        </w:tc>
      </w:tr>
      <w:tr w:rsidR="001D159B">
        <w:trPr>
          <w:trHeight w:val="240"/>
        </w:trPr>
        <w:tc>
          <w:tcPr>
            <w:tcW w:w="234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1D159B" w:rsidRDefault="001D159B">
            <w:pPr>
              <w:pStyle w:val="table10"/>
            </w:pPr>
            <w:r>
              <w:t>7. Бакштовская амбулатория врача общей практики УЗ «Ивьевская ЦРБ»</w:t>
            </w:r>
          </w:p>
        </w:tc>
        <w:tc>
          <w:tcPr>
            <w:tcW w:w="2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1D159B" w:rsidRDefault="001D159B">
            <w:pPr>
              <w:pStyle w:val="table10"/>
            </w:pPr>
            <w:r>
              <w:t>деревня Бакшты, улица Молодежная, 4</w:t>
            </w:r>
          </w:p>
        </w:tc>
      </w:tr>
      <w:tr w:rsidR="001D159B">
        <w:trPr>
          <w:trHeight w:val="240"/>
        </w:trPr>
        <w:tc>
          <w:tcPr>
            <w:tcW w:w="234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1D159B" w:rsidRDefault="001D159B">
            <w:pPr>
              <w:pStyle w:val="table10"/>
            </w:pPr>
            <w:r>
              <w:t>8. Гераненская амбулатория врача общей практики УЗ «Ивьевская ЦРБ»</w:t>
            </w:r>
          </w:p>
        </w:tc>
        <w:tc>
          <w:tcPr>
            <w:tcW w:w="2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1D159B" w:rsidRDefault="001D159B">
            <w:pPr>
              <w:pStyle w:val="table10"/>
            </w:pPr>
            <w:r>
              <w:t>агрогородок Геранёны, улица 40 лет Победы, 1</w:t>
            </w:r>
          </w:p>
        </w:tc>
      </w:tr>
      <w:tr w:rsidR="001D159B">
        <w:trPr>
          <w:trHeight w:val="240"/>
        </w:trPr>
        <w:tc>
          <w:tcPr>
            <w:tcW w:w="234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1D159B" w:rsidRDefault="001D159B">
            <w:pPr>
              <w:pStyle w:val="table10"/>
            </w:pPr>
            <w:r>
              <w:lastRenderedPageBreak/>
              <w:t>9. Липнишковская амбулатория врача общей практики УЗ «Ивьевская ЦРБ»</w:t>
            </w:r>
          </w:p>
        </w:tc>
        <w:tc>
          <w:tcPr>
            <w:tcW w:w="2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1D159B" w:rsidRDefault="001D159B">
            <w:pPr>
              <w:pStyle w:val="table10"/>
            </w:pPr>
            <w:r>
              <w:t>агрогородок Липнишки, улица Парковая, 1А</w:t>
            </w:r>
          </w:p>
        </w:tc>
      </w:tr>
      <w:tr w:rsidR="001D159B">
        <w:trPr>
          <w:trHeight w:val="240"/>
        </w:trPr>
        <w:tc>
          <w:tcPr>
            <w:tcW w:w="234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1D159B" w:rsidRDefault="001D159B">
            <w:pPr>
              <w:pStyle w:val="table10"/>
            </w:pPr>
            <w:r>
              <w:t>10. Субботникская амбулатория врача общей практики УЗ «Ивьевская ЦРБ»</w:t>
            </w:r>
          </w:p>
        </w:tc>
        <w:tc>
          <w:tcPr>
            <w:tcW w:w="2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1D159B" w:rsidRDefault="001D159B">
            <w:pPr>
              <w:pStyle w:val="table10"/>
            </w:pPr>
            <w:r>
              <w:t>агрогородок Субботники, улица Садовая, 61</w:t>
            </w:r>
          </w:p>
        </w:tc>
      </w:tr>
      <w:tr w:rsidR="001D159B">
        <w:trPr>
          <w:trHeight w:val="240"/>
        </w:trPr>
        <w:tc>
          <w:tcPr>
            <w:tcW w:w="234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1D159B" w:rsidRDefault="001D159B">
            <w:pPr>
              <w:pStyle w:val="table10"/>
            </w:pPr>
            <w:r>
              <w:t>11. Трабская амбулатория врача общей практики УЗ «Ивьевская ЦРБ»</w:t>
            </w:r>
          </w:p>
        </w:tc>
        <w:tc>
          <w:tcPr>
            <w:tcW w:w="2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1D159B" w:rsidRDefault="001D159B">
            <w:pPr>
              <w:pStyle w:val="table10"/>
            </w:pPr>
            <w:r>
              <w:t>агрогородок Трабы, улица Советская, 14</w:t>
            </w:r>
          </w:p>
        </w:tc>
      </w:tr>
      <w:tr w:rsidR="001D159B">
        <w:trPr>
          <w:trHeight w:val="240"/>
        </w:trPr>
        <w:tc>
          <w:tcPr>
            <w:tcW w:w="234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1D159B" w:rsidRDefault="001D159B">
            <w:pPr>
              <w:pStyle w:val="table10"/>
            </w:pPr>
            <w:r>
              <w:t>12. Галимщанский фельдшерско-акушерский пункт УЗ «Ивьевская ЦРБ»</w:t>
            </w:r>
          </w:p>
        </w:tc>
        <w:tc>
          <w:tcPr>
            <w:tcW w:w="2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1D159B" w:rsidRDefault="001D159B">
            <w:pPr>
              <w:pStyle w:val="table10"/>
            </w:pPr>
            <w:r>
              <w:t>деревня Галимщина, улица Тихая, 19</w:t>
            </w:r>
          </w:p>
        </w:tc>
      </w:tr>
      <w:tr w:rsidR="001D159B">
        <w:trPr>
          <w:trHeight w:val="240"/>
        </w:trPr>
        <w:tc>
          <w:tcPr>
            <w:tcW w:w="234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1D159B" w:rsidRDefault="001D159B">
            <w:pPr>
              <w:pStyle w:val="table10"/>
            </w:pPr>
            <w:r>
              <w:t>13. Дайлидский фельдшерско-акушерский пункт УЗ «Ивьевская ЦРБ»</w:t>
            </w:r>
          </w:p>
        </w:tc>
        <w:tc>
          <w:tcPr>
            <w:tcW w:w="2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1D159B" w:rsidRDefault="001D159B">
            <w:pPr>
              <w:pStyle w:val="table10"/>
            </w:pPr>
            <w:r>
              <w:t>агрогородок Дайлиды, улица Центральная, 38</w:t>
            </w:r>
          </w:p>
        </w:tc>
      </w:tr>
      <w:tr w:rsidR="001D159B">
        <w:trPr>
          <w:trHeight w:val="240"/>
        </w:trPr>
        <w:tc>
          <w:tcPr>
            <w:tcW w:w="234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1D159B" w:rsidRDefault="001D159B">
            <w:pPr>
              <w:pStyle w:val="table10"/>
            </w:pPr>
            <w:r>
              <w:t>14. Довнарский фельдшерско-акушерский пункт УЗ «Ивьевская ЦРБ»</w:t>
            </w:r>
          </w:p>
        </w:tc>
        <w:tc>
          <w:tcPr>
            <w:tcW w:w="2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1D159B" w:rsidRDefault="001D159B">
            <w:pPr>
              <w:pStyle w:val="table10"/>
            </w:pPr>
            <w:r>
              <w:t>деревня Довнары, улица Довнарская, 1</w:t>
            </w:r>
          </w:p>
        </w:tc>
      </w:tr>
      <w:tr w:rsidR="001D159B">
        <w:trPr>
          <w:trHeight w:val="240"/>
        </w:trPr>
        <w:tc>
          <w:tcPr>
            <w:tcW w:w="234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1D159B" w:rsidRDefault="001D159B">
            <w:pPr>
              <w:pStyle w:val="table10"/>
            </w:pPr>
            <w:r>
              <w:t>15. Жемыславльский фельдшерско-акушерский пункт УЗ «Ивьевская ЦРБ»</w:t>
            </w:r>
          </w:p>
        </w:tc>
        <w:tc>
          <w:tcPr>
            <w:tcW w:w="2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1D159B" w:rsidRDefault="001D159B">
            <w:pPr>
              <w:pStyle w:val="table10"/>
            </w:pPr>
            <w:r>
              <w:t>агрогородок Жемыславль, улица Школьная, 21</w:t>
            </w:r>
          </w:p>
        </w:tc>
      </w:tr>
      <w:tr w:rsidR="001D159B">
        <w:trPr>
          <w:trHeight w:val="240"/>
        </w:trPr>
        <w:tc>
          <w:tcPr>
            <w:tcW w:w="234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1D159B" w:rsidRDefault="001D159B">
            <w:pPr>
              <w:pStyle w:val="table10"/>
            </w:pPr>
            <w:r>
              <w:t>16. Князиковский фельдшерско-акушерский пункт УЗ «Ивьевская ЦРБ»</w:t>
            </w:r>
          </w:p>
        </w:tc>
        <w:tc>
          <w:tcPr>
            <w:tcW w:w="2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1D159B" w:rsidRDefault="001D159B">
            <w:pPr>
              <w:pStyle w:val="table10"/>
            </w:pPr>
            <w:r>
              <w:t>деревня Большие Князиковцы, улица Садовая, 7</w:t>
            </w:r>
          </w:p>
        </w:tc>
      </w:tr>
      <w:tr w:rsidR="001D159B">
        <w:trPr>
          <w:trHeight w:val="240"/>
        </w:trPr>
        <w:tc>
          <w:tcPr>
            <w:tcW w:w="234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1D159B" w:rsidRDefault="001D159B">
            <w:pPr>
              <w:pStyle w:val="table10"/>
            </w:pPr>
            <w:r>
              <w:t>17. Лежневичский фельдшерско-акушерский пункт УЗ «Ивьевская ЦРБ»</w:t>
            </w:r>
          </w:p>
        </w:tc>
        <w:tc>
          <w:tcPr>
            <w:tcW w:w="2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1D159B" w:rsidRDefault="001D159B">
            <w:pPr>
              <w:pStyle w:val="table10"/>
            </w:pPr>
            <w:r>
              <w:t>деревня Лежневичи, улица Центральная, 52Б</w:t>
            </w:r>
          </w:p>
        </w:tc>
      </w:tr>
      <w:tr w:rsidR="001D159B">
        <w:trPr>
          <w:trHeight w:val="240"/>
        </w:trPr>
        <w:tc>
          <w:tcPr>
            <w:tcW w:w="234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1D159B" w:rsidRDefault="001D159B">
            <w:pPr>
              <w:pStyle w:val="table10"/>
            </w:pPr>
            <w:r>
              <w:t>18. Лелюкинский фельдшерско-акушерский пункт УЗ «Ивьевская ЦРБ»</w:t>
            </w:r>
          </w:p>
        </w:tc>
        <w:tc>
          <w:tcPr>
            <w:tcW w:w="2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1D159B" w:rsidRDefault="001D159B">
            <w:pPr>
              <w:pStyle w:val="table10"/>
            </w:pPr>
            <w:r>
              <w:t>агрогородок Лелюки, улица Центральная, 15</w:t>
            </w:r>
          </w:p>
        </w:tc>
      </w:tr>
      <w:tr w:rsidR="001D159B">
        <w:trPr>
          <w:trHeight w:val="240"/>
        </w:trPr>
        <w:tc>
          <w:tcPr>
            <w:tcW w:w="234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1D159B" w:rsidRDefault="001D159B">
            <w:pPr>
              <w:pStyle w:val="table10"/>
            </w:pPr>
            <w:r>
              <w:t>19. Лукашинский фельдшерско-акушерский пункт УЗ «Ивьевская ЦРБ»</w:t>
            </w:r>
          </w:p>
        </w:tc>
        <w:tc>
          <w:tcPr>
            <w:tcW w:w="2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1D159B" w:rsidRDefault="001D159B">
            <w:pPr>
              <w:pStyle w:val="table10"/>
            </w:pPr>
            <w:r>
              <w:t>деревня Лукашино, 9А</w:t>
            </w:r>
          </w:p>
        </w:tc>
      </w:tr>
      <w:tr w:rsidR="001D159B">
        <w:trPr>
          <w:trHeight w:val="240"/>
        </w:trPr>
        <w:tc>
          <w:tcPr>
            <w:tcW w:w="234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1D159B" w:rsidRDefault="001D159B">
            <w:pPr>
              <w:pStyle w:val="table10"/>
            </w:pPr>
            <w:r>
              <w:t>20. Моринский фельдшерско-акушерский пункт УЗ «Ивьевская ЦРБ»</w:t>
            </w:r>
          </w:p>
        </w:tc>
        <w:tc>
          <w:tcPr>
            <w:tcW w:w="2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1D159B" w:rsidRDefault="001D159B">
            <w:pPr>
              <w:pStyle w:val="table10"/>
            </w:pPr>
            <w:r>
              <w:t>агрогородок Морино, улица Центарльная, 150Б</w:t>
            </w:r>
          </w:p>
        </w:tc>
      </w:tr>
      <w:tr w:rsidR="001D159B">
        <w:trPr>
          <w:trHeight w:val="240"/>
        </w:trPr>
        <w:tc>
          <w:tcPr>
            <w:tcW w:w="234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1D159B" w:rsidRDefault="001D159B">
            <w:pPr>
              <w:pStyle w:val="table10"/>
            </w:pPr>
            <w:r>
              <w:t>21. Суражский фельдшерско-акушерский пункт УЗ «Ивьевская ЦРБ»</w:t>
            </w:r>
          </w:p>
        </w:tc>
        <w:tc>
          <w:tcPr>
            <w:tcW w:w="2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1D159B" w:rsidRDefault="001D159B">
            <w:pPr>
              <w:pStyle w:val="table10"/>
            </w:pPr>
            <w:r>
              <w:t>деревня Сураж, улица Луговая, 8</w:t>
            </w:r>
          </w:p>
        </w:tc>
      </w:tr>
      <w:tr w:rsidR="001D159B">
        <w:trPr>
          <w:trHeight w:val="240"/>
        </w:trPr>
        <w:tc>
          <w:tcPr>
            <w:tcW w:w="234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1D159B" w:rsidRDefault="001D159B">
            <w:pPr>
              <w:pStyle w:val="table10"/>
            </w:pPr>
            <w:r>
              <w:t>22. Юратишковский фельдшерско-акушерский пункт УЗ «Ивьевская ЦРБ»</w:t>
            </w:r>
          </w:p>
        </w:tc>
        <w:tc>
          <w:tcPr>
            <w:tcW w:w="2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1D159B" w:rsidRDefault="001D159B">
            <w:pPr>
              <w:pStyle w:val="table10"/>
            </w:pPr>
            <w:r>
              <w:t>деревня Тенюковщина, улица Центральная, 36</w:t>
            </w:r>
          </w:p>
        </w:tc>
      </w:tr>
      <w:tr w:rsidR="001D159B">
        <w:trPr>
          <w:trHeight w:val="240"/>
        </w:trPr>
        <w:tc>
          <w:tcPr>
            <w:tcW w:w="2349" w:type="pct"/>
            <w:tcBorders>
              <w:top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1D159B" w:rsidRDefault="001D159B">
            <w:pPr>
              <w:pStyle w:val="table10"/>
            </w:pPr>
            <w:r>
              <w:t>23. Эйгердовский фельдшерско-акушерский пункт УЗ «Ивьевская ЦРБ»</w:t>
            </w:r>
          </w:p>
        </w:tc>
        <w:tc>
          <w:tcPr>
            <w:tcW w:w="2651" w:type="pct"/>
            <w:tcBorders>
              <w:top w:val="single" w:sz="4" w:space="0" w:color="auto"/>
              <w:lef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1D159B" w:rsidRDefault="001D159B">
            <w:pPr>
              <w:pStyle w:val="table10"/>
            </w:pPr>
            <w:r>
              <w:t>агрогородок Эйгерды, улица Молодежная, 6</w:t>
            </w:r>
          </w:p>
        </w:tc>
      </w:tr>
    </w:tbl>
    <w:p w:rsidR="001D159B" w:rsidRDefault="001D159B">
      <w:pPr>
        <w:pStyle w:val="newncpi"/>
      </w:pPr>
      <w:r>
        <w:t> </w:t>
      </w:r>
    </w:p>
    <w:p w:rsidR="00EF32C1" w:rsidRDefault="00EF32C1"/>
    <w:sectPr w:rsidR="00EF32C1" w:rsidSect="00C90B1F">
      <w:pgSz w:w="11906" w:h="16838"/>
      <w:pgMar w:top="567" w:right="1133" w:bottom="567" w:left="1416" w:header="708" w:footer="708" w:gutter="0"/>
      <w:cols w:space="708"/>
      <w:docGrid w:linePitch="4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159B"/>
    <w:rsid w:val="001D159B"/>
    <w:rsid w:val="005B43B8"/>
    <w:rsid w:val="0086659A"/>
    <w:rsid w:val="00EF32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B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342C935-169B-4A29-840A-C432578A6A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kern w:val="2"/>
        <w:sz w:val="30"/>
        <w:szCs w:val="30"/>
        <w:lang w:val="ru-BY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itlencpi">
    <w:name w:val="titlencpi"/>
    <w:basedOn w:val="a"/>
    <w:rsid w:val="001D159B"/>
    <w:pPr>
      <w:spacing w:before="240" w:after="240"/>
      <w:ind w:right="2268"/>
    </w:pPr>
    <w:rPr>
      <w:rFonts w:eastAsia="Times New Roman"/>
      <w:b/>
      <w:bCs/>
      <w:kern w:val="0"/>
      <w:sz w:val="28"/>
      <w:szCs w:val="28"/>
      <w:lang w:eastAsia="ru-BY"/>
      <w14:ligatures w14:val="none"/>
    </w:rPr>
  </w:style>
  <w:style w:type="paragraph" w:customStyle="1" w:styleId="agree">
    <w:name w:val="agree"/>
    <w:basedOn w:val="a"/>
    <w:rsid w:val="001D159B"/>
    <w:pPr>
      <w:spacing w:after="28"/>
    </w:pPr>
    <w:rPr>
      <w:rFonts w:eastAsiaTheme="minorEastAsia"/>
      <w:kern w:val="0"/>
      <w:sz w:val="22"/>
      <w:szCs w:val="22"/>
      <w:lang w:eastAsia="ru-BY"/>
      <w14:ligatures w14:val="none"/>
    </w:rPr>
  </w:style>
  <w:style w:type="paragraph" w:customStyle="1" w:styleId="titlep">
    <w:name w:val="titlep"/>
    <w:basedOn w:val="a"/>
    <w:rsid w:val="001D159B"/>
    <w:pPr>
      <w:spacing w:before="240" w:after="240"/>
      <w:jc w:val="center"/>
    </w:pPr>
    <w:rPr>
      <w:rFonts w:eastAsiaTheme="minorEastAsia"/>
      <w:b/>
      <w:bCs/>
      <w:kern w:val="0"/>
      <w:sz w:val="24"/>
      <w:szCs w:val="24"/>
      <w:lang w:eastAsia="ru-BY"/>
      <w14:ligatures w14:val="none"/>
    </w:rPr>
  </w:style>
  <w:style w:type="paragraph" w:customStyle="1" w:styleId="point">
    <w:name w:val="point"/>
    <w:basedOn w:val="a"/>
    <w:rsid w:val="001D159B"/>
    <w:pPr>
      <w:ind w:firstLine="567"/>
      <w:jc w:val="both"/>
    </w:pPr>
    <w:rPr>
      <w:rFonts w:eastAsiaTheme="minorEastAsia"/>
      <w:kern w:val="0"/>
      <w:sz w:val="24"/>
      <w:szCs w:val="24"/>
      <w:lang w:eastAsia="ru-BY"/>
      <w14:ligatures w14:val="none"/>
    </w:rPr>
  </w:style>
  <w:style w:type="paragraph" w:customStyle="1" w:styleId="preamble">
    <w:name w:val="preamble"/>
    <w:basedOn w:val="a"/>
    <w:rsid w:val="001D159B"/>
    <w:pPr>
      <w:ind w:firstLine="567"/>
      <w:jc w:val="both"/>
    </w:pPr>
    <w:rPr>
      <w:rFonts w:eastAsiaTheme="minorEastAsia"/>
      <w:kern w:val="0"/>
      <w:sz w:val="24"/>
      <w:szCs w:val="24"/>
      <w:lang w:eastAsia="ru-BY"/>
      <w14:ligatures w14:val="none"/>
    </w:rPr>
  </w:style>
  <w:style w:type="paragraph" w:customStyle="1" w:styleId="table10">
    <w:name w:val="table10"/>
    <w:basedOn w:val="a"/>
    <w:rsid w:val="001D159B"/>
    <w:rPr>
      <w:rFonts w:eastAsiaTheme="minorEastAsia"/>
      <w:kern w:val="0"/>
      <w:sz w:val="20"/>
      <w:szCs w:val="20"/>
      <w:lang w:eastAsia="ru-BY"/>
      <w14:ligatures w14:val="none"/>
    </w:rPr>
  </w:style>
  <w:style w:type="paragraph" w:customStyle="1" w:styleId="append">
    <w:name w:val="append"/>
    <w:basedOn w:val="a"/>
    <w:rsid w:val="001D159B"/>
    <w:rPr>
      <w:rFonts w:eastAsiaTheme="minorEastAsia"/>
      <w:kern w:val="0"/>
      <w:sz w:val="22"/>
      <w:szCs w:val="22"/>
      <w:lang w:eastAsia="ru-BY"/>
      <w14:ligatures w14:val="none"/>
    </w:rPr>
  </w:style>
  <w:style w:type="paragraph" w:customStyle="1" w:styleId="append1">
    <w:name w:val="append1"/>
    <w:basedOn w:val="a"/>
    <w:rsid w:val="001D159B"/>
    <w:pPr>
      <w:spacing w:after="28"/>
    </w:pPr>
    <w:rPr>
      <w:rFonts w:eastAsiaTheme="minorEastAsia"/>
      <w:kern w:val="0"/>
      <w:sz w:val="22"/>
      <w:szCs w:val="22"/>
      <w:lang w:eastAsia="ru-BY"/>
      <w14:ligatures w14:val="none"/>
    </w:rPr>
  </w:style>
  <w:style w:type="paragraph" w:customStyle="1" w:styleId="newncpi">
    <w:name w:val="newncpi"/>
    <w:basedOn w:val="a"/>
    <w:rsid w:val="001D159B"/>
    <w:pPr>
      <w:ind w:firstLine="567"/>
      <w:jc w:val="both"/>
    </w:pPr>
    <w:rPr>
      <w:rFonts w:eastAsiaTheme="minorEastAsia"/>
      <w:kern w:val="0"/>
      <w:sz w:val="24"/>
      <w:szCs w:val="24"/>
      <w:lang w:eastAsia="ru-BY"/>
      <w14:ligatures w14:val="none"/>
    </w:rPr>
  </w:style>
  <w:style w:type="paragraph" w:customStyle="1" w:styleId="newncpi0">
    <w:name w:val="newncpi0"/>
    <w:basedOn w:val="a"/>
    <w:rsid w:val="001D159B"/>
    <w:pPr>
      <w:jc w:val="both"/>
    </w:pPr>
    <w:rPr>
      <w:rFonts w:eastAsiaTheme="minorEastAsia"/>
      <w:kern w:val="0"/>
      <w:sz w:val="24"/>
      <w:szCs w:val="24"/>
      <w:lang w:eastAsia="ru-BY"/>
      <w14:ligatures w14:val="none"/>
    </w:rPr>
  </w:style>
  <w:style w:type="character" w:customStyle="1" w:styleId="name">
    <w:name w:val="name"/>
    <w:basedOn w:val="a0"/>
    <w:rsid w:val="001D159B"/>
    <w:rPr>
      <w:rFonts w:ascii="Times New Roman" w:hAnsi="Times New Roman" w:cs="Times New Roman" w:hint="default"/>
      <w:caps/>
    </w:rPr>
  </w:style>
  <w:style w:type="character" w:customStyle="1" w:styleId="promulgator">
    <w:name w:val="promulgator"/>
    <w:basedOn w:val="a0"/>
    <w:rsid w:val="001D159B"/>
    <w:rPr>
      <w:rFonts w:ascii="Times New Roman" w:hAnsi="Times New Roman" w:cs="Times New Roman" w:hint="default"/>
      <w:caps/>
    </w:rPr>
  </w:style>
  <w:style w:type="character" w:customStyle="1" w:styleId="datepr">
    <w:name w:val="datepr"/>
    <w:basedOn w:val="a0"/>
    <w:rsid w:val="001D159B"/>
    <w:rPr>
      <w:rFonts w:ascii="Times New Roman" w:hAnsi="Times New Roman" w:cs="Times New Roman" w:hint="default"/>
    </w:rPr>
  </w:style>
  <w:style w:type="character" w:customStyle="1" w:styleId="number">
    <w:name w:val="number"/>
    <w:basedOn w:val="a0"/>
    <w:rsid w:val="001D159B"/>
    <w:rPr>
      <w:rFonts w:ascii="Times New Roman" w:hAnsi="Times New Roman" w:cs="Times New Roman" w:hint="default"/>
    </w:rPr>
  </w:style>
  <w:style w:type="character" w:customStyle="1" w:styleId="post">
    <w:name w:val="post"/>
    <w:basedOn w:val="a0"/>
    <w:rsid w:val="001D159B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pers">
    <w:name w:val="pers"/>
    <w:basedOn w:val="a0"/>
    <w:rsid w:val="001D159B"/>
    <w:rPr>
      <w:rFonts w:ascii="Times New Roman" w:hAnsi="Times New Roman" w:cs="Times New Roman" w:hint="default"/>
      <w:b/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612</Words>
  <Characters>3492</Characters>
  <Application>Microsoft Office Word</Application>
  <DocSecurity>0</DocSecurity>
  <Lines>29</Lines>
  <Paragraphs>8</Paragraphs>
  <ScaleCrop>false</ScaleCrop>
  <Company/>
  <LinksUpToDate>false</LinksUpToDate>
  <CharactersWithSpaces>4096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Олег Михайлович Герасимчук</dc:creator>
  <cp:keywords/>
  <dc:description/>
  <cp:lastModifiedBy>Олег Михайлович Герасимчук</cp:lastModifiedBy>
  <cp:revision>1</cp:revision>
  <dcterms:created xsi:type="dcterms:W3CDTF">2026-04-27T08:43:00Z</dcterms:created>
  <dcterms:modified xsi:type="dcterms:W3CDTF">2026-04-27T08:43:00Z</dcterms:modified>
</cp:coreProperties>
</file>