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5E5" w:rsidRDefault="00FC55E5">
      <w:pPr>
        <w:pStyle w:val="newncpi0"/>
        <w:jc w:val="center"/>
      </w:pPr>
      <w:bookmarkStart w:id="0" w:name="_GoBack"/>
      <w:bookmarkEnd w:id="0"/>
      <w:r>
        <w:rPr>
          <w:rStyle w:val="name"/>
        </w:rPr>
        <w:t>РЕШЕНИЕ </w:t>
      </w:r>
      <w:r>
        <w:rPr>
          <w:rStyle w:val="promulgator"/>
        </w:rPr>
        <w:t>ИВЬЕВСКОГО РАЙОННОГО ИСПОЛНИТЕЛЬНОГО КОМИТЕТА</w:t>
      </w:r>
    </w:p>
    <w:p w:rsidR="00FC55E5" w:rsidRDefault="00FC55E5">
      <w:pPr>
        <w:pStyle w:val="newncpi"/>
        <w:ind w:firstLine="0"/>
        <w:jc w:val="center"/>
      </w:pPr>
      <w:r>
        <w:rPr>
          <w:rStyle w:val="datepr"/>
        </w:rPr>
        <w:t>6 августа 2025 г.</w:t>
      </w:r>
      <w:r>
        <w:rPr>
          <w:rStyle w:val="number"/>
        </w:rPr>
        <w:t xml:space="preserve"> № 418</w:t>
      </w:r>
    </w:p>
    <w:p w:rsidR="00FC55E5" w:rsidRDefault="00FC55E5">
      <w:pPr>
        <w:pStyle w:val="titlencpi"/>
      </w:pPr>
      <w:r>
        <w:t>О критериях ухудшения архитектурного облика здания (сооружения), застройки территории</w:t>
      </w:r>
    </w:p>
    <w:p w:rsidR="00FC55E5" w:rsidRDefault="00FC55E5">
      <w:pPr>
        <w:pStyle w:val="preamble"/>
      </w:pPr>
      <w:r>
        <w:t>На основании подпункта 17.8 пункта 17 и абзаца четвертого подпункта 29.3 пункта 29 Положения о порядке выдачи, продления действия, переоформления и прекращения действия разрешения на размещение средства наружной рекламы, утвержденного постановлением Совета Министров Республики Беларусь от 7 июля 2021 г. № 395, Ивьевский районный исполнительный комитет РЕШИЛ:</w:t>
      </w:r>
    </w:p>
    <w:p w:rsidR="00FC55E5" w:rsidRDefault="00FC55E5">
      <w:pPr>
        <w:pStyle w:val="point"/>
      </w:pPr>
      <w:r>
        <w:t>1. Определить критерии ухудшения архитектурного облика здания (сооружения), застройки территории в связи с размещением средства наружной рекламы согласно приложению.</w:t>
      </w:r>
    </w:p>
    <w:p w:rsidR="00FC55E5" w:rsidRDefault="00FC55E5">
      <w:pPr>
        <w:pStyle w:val="point"/>
      </w:pPr>
      <w:r>
        <w:t>2. Обнародовать (опубликовать) настоящее решение в газете «Іўеўскі край».</w:t>
      </w:r>
    </w:p>
    <w:p w:rsidR="00FC55E5" w:rsidRDefault="00FC55E5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FC55E5" w:rsidRDefault="00FC55E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C55E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55E5" w:rsidRDefault="00FC55E5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C55E5" w:rsidRDefault="00FC55E5">
            <w:pPr>
              <w:pStyle w:val="newncpi0"/>
              <w:jc w:val="right"/>
            </w:pPr>
            <w:r>
              <w:rPr>
                <w:rStyle w:val="pers"/>
              </w:rPr>
              <w:t>И.Н.Генец</w:t>
            </w:r>
          </w:p>
        </w:tc>
      </w:tr>
    </w:tbl>
    <w:p w:rsidR="00FC55E5" w:rsidRDefault="00FC55E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6"/>
        <w:gridCol w:w="2721"/>
      </w:tblGrid>
      <w:tr w:rsidR="00FC55E5">
        <w:tc>
          <w:tcPr>
            <w:tcW w:w="35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55E5" w:rsidRDefault="00FC55E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55E5" w:rsidRDefault="00FC55E5">
            <w:pPr>
              <w:pStyle w:val="append1"/>
            </w:pPr>
            <w:r>
              <w:t>Приложение</w:t>
            </w:r>
          </w:p>
          <w:p w:rsidR="00FC55E5" w:rsidRDefault="00FC55E5">
            <w:pPr>
              <w:pStyle w:val="append"/>
            </w:pPr>
            <w:r>
              <w:t xml:space="preserve">к решению </w:t>
            </w:r>
            <w:r>
              <w:br/>
              <w:t xml:space="preserve">Ивьевского районного </w:t>
            </w:r>
            <w:r>
              <w:br/>
              <w:t>исполнительного комитета</w:t>
            </w:r>
            <w:r>
              <w:br/>
              <w:t>06.08.2025 № 418</w:t>
            </w:r>
          </w:p>
        </w:tc>
      </w:tr>
    </w:tbl>
    <w:p w:rsidR="00FC55E5" w:rsidRDefault="00FC55E5">
      <w:pPr>
        <w:pStyle w:val="titlep"/>
        <w:jc w:val="left"/>
      </w:pPr>
      <w:r>
        <w:t>КРИТЕРИИ</w:t>
      </w:r>
      <w:r>
        <w:br/>
        <w:t>ухудшения архитектурного облика здания (сооружения), застройки территории в связи с размещением средства наружной рекламы</w:t>
      </w:r>
    </w:p>
    <w:p w:rsidR="00FC55E5" w:rsidRDefault="00FC55E5">
      <w:pPr>
        <w:pStyle w:val="point"/>
      </w:pPr>
      <w:r>
        <w:t>1. Размещение отдельно стоящего средства наружной рекламы на фундаменте, расположенном полностью либо частично выше уровня поверхности земли.</w:t>
      </w:r>
    </w:p>
    <w:p w:rsidR="00FC55E5" w:rsidRDefault="00FC55E5">
      <w:pPr>
        <w:pStyle w:val="point"/>
      </w:pPr>
      <w:r>
        <w:t>2. Несоблюдение единой высоты нижнего края рекламного поля отдельно стоящих средств наружной рекламы одного вида, расположенных на перекрестке в зоне прямой видимости.</w:t>
      </w:r>
    </w:p>
    <w:p w:rsidR="00FC55E5" w:rsidRDefault="00FC55E5">
      <w:pPr>
        <w:pStyle w:val="point"/>
      </w:pPr>
      <w:r>
        <w:t>3. Размещение средства наружной рекламы на балконах и лоджиях жилых зданий (сооружений).</w:t>
      </w:r>
    </w:p>
    <w:p w:rsidR="00FC55E5" w:rsidRDefault="00FC55E5">
      <w:pPr>
        <w:pStyle w:val="point"/>
      </w:pPr>
      <w:r>
        <w:t>4. Размещение средства наружной рекламы на фасаде здания (сооружения) без композиционной привязки к осям конструктивных и архитектурных элементов фасадов зданий (сооружений) (окно, витрина, входная группа) и другим расположенным на фасаде средствам наружной рекламы.</w:t>
      </w:r>
    </w:p>
    <w:p w:rsidR="00FC55E5" w:rsidRDefault="00FC55E5">
      <w:pPr>
        <w:pStyle w:val="point"/>
      </w:pPr>
      <w:r>
        <w:t>5. Несоблюдение масштабности и нарушение восприятия геометрических размеров элементов фасада.</w:t>
      </w:r>
    </w:p>
    <w:p w:rsidR="00FC55E5" w:rsidRDefault="00FC55E5">
      <w:pPr>
        <w:pStyle w:val="point"/>
      </w:pPr>
      <w:r>
        <w:t>6. Несоответствие средства наружной рекламы (форма, размер, пропорции, цвет, масштаб) стилистике и цветовому решению фасада здания (сооружения), на котором размещается средство наружной рекламы.</w:t>
      </w:r>
    </w:p>
    <w:p w:rsidR="00FC55E5" w:rsidRDefault="00FC55E5">
      <w:pPr>
        <w:pStyle w:val="point"/>
      </w:pPr>
      <w:r>
        <w:t>7. Размещение средства наружной рекламы на архитектурных элементах декора фасада здания (сооружения) (колонны, пилястры, орнаменты, лепнина и другие).</w:t>
      </w:r>
    </w:p>
    <w:p w:rsidR="00FC55E5" w:rsidRDefault="00FC55E5">
      <w:pPr>
        <w:pStyle w:val="point"/>
      </w:pPr>
      <w:r>
        <w:t>8. Размещение средства наружной рекламы за пределами внешней поверхности фасада здания (сооружения), занимаемых рекламодателем помещений в здании (сооружении), за исключением указателя, кронштейна.</w:t>
      </w:r>
    </w:p>
    <w:p w:rsidR="00FC55E5" w:rsidRDefault="00FC55E5">
      <w:pPr>
        <w:pStyle w:val="point"/>
      </w:pPr>
      <w:r>
        <w:t>9. Размещение средства наружной рекламы посредством перекрытия визуального восприятия мемориальных досок, информационных табличек, адресного знака.</w:t>
      </w:r>
    </w:p>
    <w:p w:rsidR="00FC55E5" w:rsidRDefault="00FC55E5">
      <w:pPr>
        <w:pStyle w:val="point"/>
      </w:pPr>
      <w:r>
        <w:t>10. Размещение на фасадах многоквартирных жилых домов призматронов и других средств наружной рекламы с использованием динамических систем автоматической смены изображений.</w:t>
      </w:r>
    </w:p>
    <w:p w:rsidR="00FC55E5" w:rsidRDefault="00FC55E5">
      <w:pPr>
        <w:pStyle w:val="point"/>
      </w:pPr>
      <w:r>
        <w:lastRenderedPageBreak/>
        <w:t>11. Размещение средства наружной рекламы посредством полной или частичной замены остекления витрин здания (сооружения), за исключением светопропускаемых мультимедийных рекламных конструкций.</w:t>
      </w:r>
    </w:p>
    <w:p w:rsidR="00FC55E5" w:rsidRDefault="00FC55E5">
      <w:pPr>
        <w:pStyle w:val="point"/>
      </w:pPr>
      <w:r>
        <w:t>12. Использование пульсирующего режима подсветки при размещении средства наружной рекламы с 23.00 до 07.00.</w:t>
      </w:r>
    </w:p>
    <w:p w:rsidR="00FC55E5" w:rsidRDefault="00FC55E5">
      <w:pPr>
        <w:pStyle w:val="point"/>
      </w:pPr>
      <w:r>
        <w:t>13. Нахождение средства наружной рекламы в ненадлежащем эстетическом и (или) техническом состоянии, в том числе содержащие посторонние надписи и рисунки.</w:t>
      </w:r>
    </w:p>
    <w:p w:rsidR="00FC55E5" w:rsidRDefault="00FC55E5">
      <w:pPr>
        <w:pStyle w:val="newncpi"/>
      </w:pPr>
      <w:r>
        <w:t> </w:t>
      </w:r>
    </w:p>
    <w:p w:rsidR="00EF32C1" w:rsidRDefault="00EF32C1"/>
    <w:sectPr w:rsidR="00EF32C1" w:rsidSect="002D430D">
      <w:pgSz w:w="11906" w:h="16838"/>
      <w:pgMar w:top="567" w:right="1133" w:bottom="567" w:left="141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E5"/>
    <w:rsid w:val="005B43B8"/>
    <w:rsid w:val="0086659A"/>
    <w:rsid w:val="00EF32C1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AB811-22CF-4EFF-892C-5C38436C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30"/>
        <w:szCs w:val="30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C55E5"/>
    <w:pPr>
      <w:spacing w:before="240" w:after="240"/>
      <w:ind w:right="2268"/>
    </w:pPr>
    <w:rPr>
      <w:rFonts w:eastAsia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p">
    <w:name w:val="titlep"/>
    <w:basedOn w:val="a"/>
    <w:rsid w:val="00FC55E5"/>
    <w:pPr>
      <w:spacing w:before="240" w:after="240"/>
      <w:jc w:val="center"/>
    </w:pPr>
    <w:rPr>
      <w:rFonts w:eastAsiaTheme="minorEastAsia"/>
      <w:b/>
      <w:bCs/>
      <w:kern w:val="0"/>
      <w:sz w:val="24"/>
      <w:szCs w:val="24"/>
      <w:lang w:eastAsia="ru-BY"/>
      <w14:ligatures w14:val="none"/>
    </w:rPr>
  </w:style>
  <w:style w:type="paragraph" w:customStyle="1" w:styleId="point">
    <w:name w:val="point"/>
    <w:basedOn w:val="a"/>
    <w:rsid w:val="00FC55E5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preamble">
    <w:name w:val="preamble"/>
    <w:basedOn w:val="a"/>
    <w:rsid w:val="00FC55E5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append">
    <w:name w:val="append"/>
    <w:basedOn w:val="a"/>
    <w:rsid w:val="00FC55E5"/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append1">
    <w:name w:val="append1"/>
    <w:basedOn w:val="a"/>
    <w:rsid w:val="00FC55E5"/>
    <w:pPr>
      <w:spacing w:after="28"/>
    </w:pPr>
    <w:rPr>
      <w:rFonts w:eastAsiaTheme="minorEastAsia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FC55E5"/>
    <w:pPr>
      <w:ind w:firstLine="567"/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paragraph" w:customStyle="1" w:styleId="newncpi0">
    <w:name w:val="newncpi0"/>
    <w:basedOn w:val="a"/>
    <w:rsid w:val="00FC55E5"/>
    <w:pPr>
      <w:jc w:val="both"/>
    </w:pPr>
    <w:rPr>
      <w:rFonts w:eastAsiaTheme="minorEastAsia"/>
      <w:kern w:val="0"/>
      <w:sz w:val="24"/>
      <w:szCs w:val="24"/>
      <w:lang w:eastAsia="ru-BY"/>
      <w14:ligatures w14:val="none"/>
    </w:rPr>
  </w:style>
  <w:style w:type="character" w:customStyle="1" w:styleId="name">
    <w:name w:val="name"/>
    <w:basedOn w:val="a0"/>
    <w:rsid w:val="00FC55E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C55E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C55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C55E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C55E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C55E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Михайлович Герасимчук</dc:creator>
  <cp:keywords/>
  <dc:description/>
  <cp:lastModifiedBy>Олег Михайлович Герасимчук</cp:lastModifiedBy>
  <cp:revision>1</cp:revision>
  <dcterms:created xsi:type="dcterms:W3CDTF">2025-10-06T09:48:00Z</dcterms:created>
  <dcterms:modified xsi:type="dcterms:W3CDTF">2025-10-06T09:48:00Z</dcterms:modified>
</cp:coreProperties>
</file>