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9B6" w:rsidRDefault="00C619B6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C619B6" w:rsidRDefault="00C619B6">
      <w:pPr>
        <w:pStyle w:val="newncpi"/>
        <w:ind w:firstLine="0"/>
        <w:jc w:val="center"/>
      </w:pPr>
      <w:r>
        <w:rPr>
          <w:rStyle w:val="datepr"/>
        </w:rPr>
        <w:t>15 июля 2025 г.</w:t>
      </w:r>
      <w:r>
        <w:rPr>
          <w:rStyle w:val="number"/>
        </w:rPr>
        <w:t xml:space="preserve"> № 382</w:t>
      </w:r>
    </w:p>
    <w:p w:rsidR="00C619B6" w:rsidRDefault="00C619B6">
      <w:pPr>
        <w:pStyle w:val="titlencpi"/>
        <w:ind w:right="3968"/>
      </w:pPr>
      <w:r>
        <w:t>Об организации оплачиваемых временных работ в 2025 году</w:t>
      </w:r>
    </w:p>
    <w:p w:rsidR="00C619B6" w:rsidRDefault="00C619B6">
      <w:pPr>
        <w:pStyle w:val="preamble"/>
      </w:pPr>
      <w:r>
        <w:t>На основании части третьей пункта 5 Положения о порядке финансирования и выполнения оплачиваемых временных работ, а также установления месячной нормы участия безработных в указанных работах, утвержденного постановлением Совета Министров Республики Беларусь от 9 июня 2025 г. № 312, Ивьевский районный исполнительный комитет РЕШИЛ:</w:t>
      </w:r>
    </w:p>
    <w:p w:rsidR="00C619B6" w:rsidRDefault="00C619B6">
      <w:pPr>
        <w:pStyle w:val="point"/>
      </w:pPr>
      <w:r>
        <w:t>1. Установить:</w:t>
      </w:r>
    </w:p>
    <w:p w:rsidR="00C619B6" w:rsidRDefault="00C619B6">
      <w:pPr>
        <w:pStyle w:val="underpoint"/>
      </w:pPr>
      <w:r>
        <w:t>1.1. перечень планируемых видов оплачиваемых временных работ и сроки их выполнения в 2025 году согласно приложению;</w:t>
      </w:r>
    </w:p>
    <w:p w:rsidR="00C619B6" w:rsidRDefault="00C619B6">
      <w:pPr>
        <w:pStyle w:val="underpoint"/>
      </w:pPr>
      <w:r>
        <w:t>1.2. месячную норму участия безработных в оплачиваемых временных работах в 2025 году:</w:t>
      </w:r>
    </w:p>
    <w:p w:rsidR="00C619B6" w:rsidRDefault="00C619B6">
      <w:pPr>
        <w:pStyle w:val="newncpi"/>
      </w:pPr>
      <w:r>
        <w:t>январь – 1 рабочий день;</w:t>
      </w:r>
    </w:p>
    <w:p w:rsidR="00C619B6" w:rsidRDefault="00C619B6">
      <w:pPr>
        <w:pStyle w:val="newncpi"/>
      </w:pPr>
      <w:r>
        <w:t>февраль – 1 рабочий день;</w:t>
      </w:r>
    </w:p>
    <w:p w:rsidR="00C619B6" w:rsidRDefault="00C619B6">
      <w:pPr>
        <w:pStyle w:val="newncpi"/>
      </w:pPr>
      <w:r>
        <w:t>март – 1 рабочий день;</w:t>
      </w:r>
    </w:p>
    <w:p w:rsidR="00C619B6" w:rsidRDefault="00C619B6">
      <w:pPr>
        <w:pStyle w:val="newncpi"/>
      </w:pPr>
      <w:r>
        <w:t>апрель – 5 рабочих дней;</w:t>
      </w:r>
    </w:p>
    <w:p w:rsidR="00C619B6" w:rsidRDefault="00C619B6">
      <w:pPr>
        <w:pStyle w:val="newncpi"/>
      </w:pPr>
      <w:r>
        <w:t>май – 5 рабочих дней;</w:t>
      </w:r>
    </w:p>
    <w:p w:rsidR="00C619B6" w:rsidRDefault="00C619B6">
      <w:pPr>
        <w:pStyle w:val="newncpi"/>
      </w:pPr>
      <w:r>
        <w:t>июнь – 5 рабочих дней;</w:t>
      </w:r>
    </w:p>
    <w:p w:rsidR="00C619B6" w:rsidRDefault="00C619B6">
      <w:pPr>
        <w:pStyle w:val="newncpi"/>
      </w:pPr>
      <w:r>
        <w:t>июль – 5 рабочих дней;</w:t>
      </w:r>
    </w:p>
    <w:p w:rsidR="00C619B6" w:rsidRDefault="00C619B6">
      <w:pPr>
        <w:pStyle w:val="newncpi"/>
      </w:pPr>
      <w:r>
        <w:t>август – 5 рабочих дней;</w:t>
      </w:r>
    </w:p>
    <w:p w:rsidR="00C619B6" w:rsidRDefault="00C619B6">
      <w:pPr>
        <w:pStyle w:val="newncpi"/>
      </w:pPr>
      <w:r>
        <w:t>сентябрь – 5 рабочих дней;</w:t>
      </w:r>
    </w:p>
    <w:p w:rsidR="00C619B6" w:rsidRDefault="00C619B6">
      <w:pPr>
        <w:pStyle w:val="newncpi"/>
      </w:pPr>
      <w:r>
        <w:t>октябрь – 3 рабочих дня;</w:t>
      </w:r>
    </w:p>
    <w:p w:rsidR="00C619B6" w:rsidRDefault="00C619B6">
      <w:pPr>
        <w:pStyle w:val="newncpi"/>
      </w:pPr>
      <w:r>
        <w:t>ноябрь – 1 рабочий день;</w:t>
      </w:r>
    </w:p>
    <w:p w:rsidR="00C619B6" w:rsidRDefault="00C619B6">
      <w:pPr>
        <w:pStyle w:val="newncpi"/>
      </w:pPr>
      <w:r>
        <w:t>декабрь – 1 рабочий день.</w:t>
      </w:r>
    </w:p>
    <w:p w:rsidR="00C619B6" w:rsidRDefault="00C619B6">
      <w:pPr>
        <w:pStyle w:val="point"/>
      </w:pPr>
      <w:r>
        <w:t>2. Признать утратившим силу решение Ивьевского районного исполнительного комитета от 19 ноября 2024 г. № 725 «Об организации оплачиваемых общественных работ в 2025 году».</w:t>
      </w:r>
    </w:p>
    <w:p w:rsidR="00C619B6" w:rsidRDefault="00C619B6">
      <w:pPr>
        <w:pStyle w:val="point"/>
      </w:pPr>
      <w:r>
        <w:t>3. Настоящее решение вступает в силу после его официального опубликования и действует по 31 декабря 2025 г.</w:t>
      </w:r>
    </w:p>
    <w:p w:rsidR="00C619B6" w:rsidRDefault="00C619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619B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19B6" w:rsidRDefault="00C619B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19B6" w:rsidRDefault="00C619B6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C619B6" w:rsidRDefault="00C619B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C619B6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append1"/>
            </w:pPr>
            <w:r>
              <w:t>Приложение</w:t>
            </w:r>
          </w:p>
          <w:p w:rsidR="00C619B6" w:rsidRDefault="00C619B6">
            <w:pPr>
              <w:pStyle w:val="append"/>
            </w:pPr>
            <w:r>
              <w:t xml:space="preserve">к решению </w:t>
            </w:r>
            <w:r>
              <w:br/>
              <w:t xml:space="preserve">Ивьевского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15.07.2025 № 382 </w:t>
            </w:r>
          </w:p>
        </w:tc>
      </w:tr>
    </w:tbl>
    <w:p w:rsidR="00C619B6" w:rsidRDefault="00C619B6">
      <w:pPr>
        <w:pStyle w:val="titlep"/>
        <w:jc w:val="left"/>
      </w:pPr>
      <w:r>
        <w:t>ПЕРЕЧЕНЬ</w:t>
      </w:r>
      <w:r>
        <w:br/>
        <w:t>планируемых видов оплачиваемых временных работ и сроки их выполнения в 2025 году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2268"/>
      </w:tblGrid>
      <w:tr w:rsidR="00C619B6">
        <w:trPr>
          <w:trHeight w:val="240"/>
        </w:trPr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19B6" w:rsidRDefault="00C619B6">
            <w:pPr>
              <w:pStyle w:val="table10"/>
              <w:jc w:val="center"/>
            </w:pPr>
            <w:r>
              <w:t>Виды оплачиваемых временных работ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19B6" w:rsidRDefault="00C619B6">
            <w:pPr>
              <w:pStyle w:val="table10"/>
              <w:jc w:val="center"/>
            </w:pPr>
            <w:r>
              <w:t>Сроки выполнения работ</w:t>
            </w:r>
          </w:p>
        </w:tc>
      </w:tr>
      <w:tr w:rsidR="00C619B6">
        <w:trPr>
          <w:trHeight w:val="240"/>
        </w:trPr>
        <w:tc>
          <w:tcPr>
            <w:tcW w:w="37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table10"/>
              <w:spacing w:before="120"/>
            </w:pPr>
            <w:r>
              <w:t>Работы в организациях, осуществляющих эксплуатацию жилищного фонда и (или) предоставляющих жилищно-коммунальные услуги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table10"/>
              <w:spacing w:before="120"/>
              <w:jc w:val="center"/>
            </w:pPr>
            <w:r>
              <w:t>январь–декабрь</w:t>
            </w:r>
          </w:p>
        </w:tc>
      </w:tr>
      <w:tr w:rsidR="00C619B6">
        <w:trPr>
          <w:trHeight w:val="240"/>
        </w:trPr>
        <w:tc>
          <w:tcPr>
            <w:tcW w:w="3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table10"/>
              <w:spacing w:before="120"/>
            </w:pPr>
            <w:r>
              <w:t>Сбор, сортировка и переработка вторичного сырья и отходов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table10"/>
              <w:spacing w:before="120"/>
              <w:jc w:val="center"/>
            </w:pPr>
            <w:r>
              <w:t>январь–декабрь</w:t>
            </w:r>
          </w:p>
        </w:tc>
      </w:tr>
      <w:tr w:rsidR="00C619B6">
        <w:trPr>
          <w:trHeight w:val="240"/>
        </w:trPr>
        <w:tc>
          <w:tcPr>
            <w:tcW w:w="3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table10"/>
              <w:spacing w:before="120"/>
            </w:pPr>
            <w:r>
              <w:t xml:space="preserve">Сельскохозяйственные работы 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table10"/>
              <w:spacing w:before="120"/>
              <w:jc w:val="center"/>
            </w:pPr>
            <w:r>
              <w:t>январь–декабрь</w:t>
            </w:r>
          </w:p>
        </w:tc>
      </w:tr>
      <w:tr w:rsidR="00C619B6">
        <w:trPr>
          <w:trHeight w:val="240"/>
        </w:trPr>
        <w:tc>
          <w:tcPr>
            <w:tcW w:w="3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table10"/>
              <w:spacing w:before="120"/>
            </w:pPr>
            <w:r>
              <w:t xml:space="preserve">Подсобные работы </w:t>
            </w:r>
          </w:p>
        </w:tc>
        <w:tc>
          <w:tcPr>
            <w:tcW w:w="1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19B6" w:rsidRDefault="00C619B6">
            <w:pPr>
              <w:pStyle w:val="table10"/>
              <w:spacing w:before="120"/>
              <w:jc w:val="center"/>
            </w:pPr>
            <w:r>
              <w:t>январь–декабрь</w:t>
            </w:r>
          </w:p>
        </w:tc>
      </w:tr>
    </w:tbl>
    <w:p w:rsidR="00C619B6" w:rsidRDefault="00C619B6">
      <w:pPr>
        <w:pStyle w:val="newncpi"/>
      </w:pPr>
      <w:r>
        <w:t> </w:t>
      </w:r>
    </w:p>
    <w:p w:rsidR="00EF32C1" w:rsidRDefault="00EF32C1"/>
    <w:sectPr w:rsidR="00EF32C1" w:rsidSect="00F75713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B6"/>
    <w:rsid w:val="005B43B8"/>
    <w:rsid w:val="0086659A"/>
    <w:rsid w:val="00C619B6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4E4A9-8F5B-431E-93DD-CE7F9B65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619B6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p">
    <w:name w:val="titlep"/>
    <w:basedOn w:val="a"/>
    <w:rsid w:val="00C619B6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C619B6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underpoint">
    <w:name w:val="underpoint"/>
    <w:basedOn w:val="a"/>
    <w:rsid w:val="00C619B6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C619B6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table10">
    <w:name w:val="table10"/>
    <w:basedOn w:val="a"/>
    <w:rsid w:val="00C619B6"/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C619B6"/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append1">
    <w:name w:val="append1"/>
    <w:basedOn w:val="a"/>
    <w:rsid w:val="00C619B6"/>
    <w:pPr>
      <w:spacing w:after="28"/>
    </w:pPr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newncpi">
    <w:name w:val="newncpi"/>
    <w:basedOn w:val="a"/>
    <w:rsid w:val="00C619B6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C619B6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C619B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619B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619B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619B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619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619B6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2025-10-06T09:47:00Z</dcterms:created>
  <dcterms:modified xsi:type="dcterms:W3CDTF">2025-10-06T09:47:00Z</dcterms:modified>
</cp:coreProperties>
</file>